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130944" w14:textId="77777777" w:rsidR="00DC3EFC" w:rsidRPr="000F4B88" w:rsidRDefault="00DC3EFC" w:rsidP="00DC3EFC">
      <w:pPr>
        <w:spacing w:after="160" w:line="259" w:lineRule="auto"/>
        <w:jc w:val="both"/>
      </w:pPr>
      <w:bookmarkStart w:id="0" w:name="OLE_LINK1"/>
    </w:p>
    <w:p w14:paraId="53577ED2" w14:textId="36E18B50" w:rsidR="00DC3EFC" w:rsidRPr="000F4B88" w:rsidRDefault="00DC3EFC" w:rsidP="00DC3EFC">
      <w:pPr>
        <w:spacing w:after="160" w:line="259" w:lineRule="auto"/>
        <w:ind w:left="284"/>
        <w:jc w:val="center"/>
        <w:rPr>
          <w:rFonts w:ascii="Arial" w:hAnsi="Arial" w:cs="Arial"/>
          <w:b/>
          <w:bCs/>
          <w:sz w:val="24"/>
          <w:szCs w:val="24"/>
        </w:rPr>
      </w:pPr>
      <w:r w:rsidRPr="000F4B88">
        <w:rPr>
          <w:rFonts w:ascii="Arial" w:hAnsi="Arial" w:cs="Arial"/>
          <w:b/>
          <w:bCs/>
          <w:sz w:val="24"/>
          <w:szCs w:val="24"/>
        </w:rPr>
        <w:t xml:space="preserve">REUNIÃO </w:t>
      </w:r>
      <w:r w:rsidRPr="00DC3EFC">
        <w:rPr>
          <w:rFonts w:ascii="Arial" w:hAnsi="Arial" w:cs="Arial"/>
          <w:b/>
          <w:bCs/>
          <w:sz w:val="24"/>
          <w:szCs w:val="24"/>
        </w:rPr>
        <w:t>EXTRA</w:t>
      </w:r>
      <w:r w:rsidRPr="000F4B88">
        <w:rPr>
          <w:rFonts w:ascii="Arial" w:hAnsi="Arial" w:cs="Arial"/>
          <w:b/>
          <w:bCs/>
          <w:sz w:val="24"/>
          <w:szCs w:val="24"/>
        </w:rPr>
        <w:t>ORDINÁRIA DO COMITÊ DE INVESTIMENTOS</w:t>
      </w:r>
    </w:p>
    <w:p w14:paraId="175795E8" w14:textId="77777777" w:rsidR="00DC3EFC" w:rsidRPr="00DC3EFC" w:rsidRDefault="00DC3EFC" w:rsidP="00DC3EFC">
      <w:pPr>
        <w:spacing w:after="160" w:line="259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5EA927B6" w14:textId="77D156F8" w:rsidR="00DC3EFC" w:rsidRPr="00DC3EFC" w:rsidRDefault="00DC3EFC" w:rsidP="00683875">
      <w:pPr>
        <w:spacing w:after="160" w:line="259" w:lineRule="auto"/>
        <w:ind w:left="5387"/>
        <w:jc w:val="both"/>
        <w:rPr>
          <w:rFonts w:ascii="Arial" w:hAnsi="Arial" w:cs="Arial"/>
          <w:b/>
          <w:bCs/>
          <w:sz w:val="24"/>
          <w:szCs w:val="24"/>
        </w:rPr>
      </w:pPr>
      <w:r w:rsidRPr="000F4B88">
        <w:rPr>
          <w:rFonts w:ascii="Arial" w:hAnsi="Arial" w:cs="Arial"/>
          <w:b/>
          <w:bCs/>
          <w:sz w:val="24"/>
          <w:szCs w:val="24"/>
        </w:rPr>
        <w:t>Deliberação sobre a Política de Investimentos para o Exercício de 2026</w:t>
      </w:r>
      <w:r w:rsidRPr="00DC3EFC">
        <w:rPr>
          <w:rFonts w:ascii="Arial" w:hAnsi="Arial" w:cs="Arial"/>
          <w:b/>
          <w:bCs/>
          <w:sz w:val="24"/>
          <w:szCs w:val="24"/>
        </w:rPr>
        <w:t>.</w:t>
      </w:r>
    </w:p>
    <w:p w14:paraId="3110428B" w14:textId="77777777" w:rsidR="00DC3EFC" w:rsidRPr="000F4B88" w:rsidRDefault="00DC3EFC" w:rsidP="00DC3EFC">
      <w:pPr>
        <w:spacing w:after="160" w:line="259" w:lineRule="auto"/>
        <w:jc w:val="right"/>
        <w:rPr>
          <w:rFonts w:ascii="Arial" w:hAnsi="Arial" w:cs="Arial"/>
          <w:sz w:val="10"/>
          <w:szCs w:val="10"/>
        </w:rPr>
      </w:pPr>
    </w:p>
    <w:p w14:paraId="1A6560C3" w14:textId="77777777" w:rsidR="00DC3EFC" w:rsidRPr="00DC3EFC" w:rsidRDefault="00DC3EFC" w:rsidP="00DC3EFC">
      <w:pPr>
        <w:jc w:val="both"/>
        <w:rPr>
          <w:rFonts w:ascii="Arial" w:hAnsi="Arial" w:cs="Arial"/>
          <w:sz w:val="24"/>
          <w:szCs w:val="24"/>
        </w:rPr>
      </w:pPr>
      <w:r w:rsidRPr="000F4B88">
        <w:rPr>
          <w:rFonts w:ascii="Arial" w:hAnsi="Arial" w:cs="Arial"/>
          <w:sz w:val="24"/>
          <w:szCs w:val="24"/>
        </w:rPr>
        <w:t xml:space="preserve">Aos oito </w:t>
      </w:r>
      <w:r w:rsidRPr="00DC3EFC">
        <w:rPr>
          <w:rFonts w:ascii="Arial" w:hAnsi="Arial" w:cs="Arial"/>
          <w:sz w:val="24"/>
          <w:szCs w:val="24"/>
        </w:rPr>
        <w:t xml:space="preserve">(08) </w:t>
      </w:r>
      <w:r w:rsidRPr="000F4B88">
        <w:rPr>
          <w:rFonts w:ascii="Arial" w:hAnsi="Arial" w:cs="Arial"/>
          <w:sz w:val="24"/>
          <w:szCs w:val="24"/>
        </w:rPr>
        <w:t>dias do mês de dezembro de dois mil e vinte e cinco, às dez</w:t>
      </w:r>
      <w:r w:rsidRPr="00DC3EFC">
        <w:rPr>
          <w:rFonts w:ascii="Arial" w:hAnsi="Arial" w:cs="Arial"/>
          <w:sz w:val="24"/>
          <w:szCs w:val="24"/>
        </w:rPr>
        <w:t xml:space="preserve"> (10)</w:t>
      </w:r>
      <w:r w:rsidRPr="000F4B88">
        <w:rPr>
          <w:rFonts w:ascii="Arial" w:hAnsi="Arial" w:cs="Arial"/>
          <w:sz w:val="24"/>
          <w:szCs w:val="24"/>
        </w:rPr>
        <w:t xml:space="preserve"> horas, na sede do Instituto de Previdência dos Servidores Públicos do Município de Guanhães – GuanhãesPrev, situada na Rua Monsenhor Pinheiro, nº 101, Centro, Guanhães/MG, reuniu-se o Comitê de Investimentos, com a presença de Cláudia Aparecida Monteiro dos Santos, Daniel Fernando da Silva, Francielle Elgita de Oliveira Costa, Humberto Salvador Ferreira Lopes e Rosimery Aparecida Inácio de Pinho Procópio, além da participação remota de Rodolpho Malafaia, consultor da Lema Assessoria de Investimentos.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A Presidente do Comitê, Sr</w:t>
      </w:r>
      <w:r w:rsidRPr="00DC3EFC">
        <w:rPr>
          <w:rFonts w:ascii="Arial" w:hAnsi="Arial" w:cs="Arial"/>
          <w:sz w:val="24"/>
          <w:szCs w:val="24"/>
        </w:rPr>
        <w:t>ª</w:t>
      </w:r>
      <w:r w:rsidRPr="000F4B88">
        <w:rPr>
          <w:rFonts w:ascii="Arial" w:hAnsi="Arial" w:cs="Arial"/>
          <w:sz w:val="24"/>
          <w:szCs w:val="24"/>
        </w:rPr>
        <w:t xml:space="preserve"> Francielle Elgita de Oliveira Costa, abriu a reunião informando que a pauta principal consistia na análise e deliberação da </w:t>
      </w:r>
      <w:r w:rsidRPr="000F4B88">
        <w:rPr>
          <w:rFonts w:ascii="Arial" w:hAnsi="Arial" w:cs="Arial"/>
          <w:b/>
          <w:bCs/>
          <w:sz w:val="24"/>
          <w:szCs w:val="24"/>
        </w:rPr>
        <w:t>Política de Investimentos para o exercício de 2026</w:t>
      </w:r>
      <w:r w:rsidRPr="000F4B88">
        <w:rPr>
          <w:rFonts w:ascii="Arial" w:hAnsi="Arial" w:cs="Arial"/>
          <w:sz w:val="24"/>
          <w:szCs w:val="24"/>
        </w:rPr>
        <w:t>, apresentada previamente pela consultoria de investimentos em minuta disponibilizada via plataforma eletrônica, acompanhada das propostas de alocação estratégica, parâmetros de risco, projeções de rentabilidade exigidas pela Portaria nº 1.467/2022 e pela Resolução CMN nº 4.963/2021. A Presidente esclareceu que realizou análise prévia da minuta e encaminhou aos membros suas considerações para subsidiar o estudo do colegiado.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Em seguida, concedeu a palavra ao consultor Rodolpho Malafaia, que apresentou o cenário econômico projetado para 2026, tratando das perspectivas de inflação, taxa Selic, impactos do ano eleitoral, volatilidade esperada dos mercados e suas implicações para o RPPS. Explicou os fundamentos técnicos da alocação estratégica sugerida, os limites regulatórios e a estrutura da Política de Investimentos, destacando que o documento orienta o processo decisório, habilita o Comitê para as movimentações de carteira e formaliza o planejamento para o exercício subsequente.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Esclareceu-se que muitos RPPS aprovam políticas sem análise aprofundada e, por esse motivo, optou-se por apresentar a estrutura completa da Política, indicando onde cada informação pode ser localizada, evitando leitura integral durante a reunião. Destacou que, embora a legislação seja uniforme, cada RPPS possui realidades distintas de obrigações atuariais, patrimônio e liquidez, razão pela qual a estratégia deve ser compatível com o perfil conservador do GuanhãesPrev e com o cenário financeiro marcado por déficit e elevada necessidade de liquidez.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 xml:space="preserve">Rodolpho reforçou que o estudo de ALM realizado no ano embasa tecnicamente a Política, alinhando ativo e passivo, e que a aprovação do Pró-Gestão Nível III atribui maior responsabilidade à governança do Instituto. Informou que a expectativa de mercado compilada pelo Banco Central projeta para 2026 inflação de 4,20% e Selic média de aproximadamente 12,25%, sendo que a </w:t>
      </w:r>
      <w:r w:rsidRPr="001662C9">
        <w:rPr>
          <w:rFonts w:ascii="Arial" w:hAnsi="Arial" w:cs="Arial"/>
          <w:sz w:val="24"/>
          <w:szCs w:val="24"/>
        </w:rPr>
        <w:t>meta atuarial para 2026 é IPCA + 5,63%,</w:t>
      </w:r>
      <w:r w:rsidRPr="000F4B88">
        <w:rPr>
          <w:rFonts w:ascii="Arial" w:hAnsi="Arial" w:cs="Arial"/>
          <w:sz w:val="24"/>
          <w:szCs w:val="24"/>
        </w:rPr>
        <w:t xml:space="preserve"> resultante da duração do passivo (15,64 anos) e do acréscimo previsto após o cumprimento da meta </w:t>
      </w:r>
      <w:r w:rsidRPr="000F4B88">
        <w:rPr>
          <w:rFonts w:ascii="Arial" w:hAnsi="Arial" w:cs="Arial"/>
          <w:sz w:val="24"/>
          <w:szCs w:val="24"/>
        </w:rPr>
        <w:lastRenderedPageBreak/>
        <w:t>em 2023. Ressaltou que o percentual nominal aproximado de 10,07% decorre da capitalização composta e não deve ser utilizado isoladamente como referência, devendo a meta ser expressa corretamente como “IPCA + 5,63%”.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Durante a apresentação, explicou-se a previsão de realocação do segmento BDR Nível I para o Art. 8º da Resolução, as características dos multimercados conservadores, a distinção entre fundos multimercado e estruturados, e que o Instituto não pretende utilizar FIPs ou ativos incompatíveis com o perfil do RPPS. Reforçou-se que qualquer movimentação dependerá de análise técnica e parecer da consultoria. Relataram-se experiências anteriores do RPPS com multimercados e o aprendizado decorrente, consolidando o amadurecimento da gestão.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Os membros discutiram os percentuais propostos para a Política de 2026, considerando limites regulatórios, posição atual da carteira (atualizada até setembro de 2025), expectativas de mercado e necessidade de liquidez frente ao déficit financeiro e ausência de aportes do ente. Destacou-se que alguns segmentos possuem percentuais apenas permissivos, não obrigando alocação imediata, mas permitindo aproveitar oportunidades de mercado. Ressaltou-se a necessidade de manutenção do credenciamento das instituições financeiras e a importância do monitoramento contínuo dos riscos previstos na Portaria nº 1.467, incluindo risco de crédito, liquidez, solvência, risco sistêmico e o plano de contingência descrito na Política.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 xml:space="preserve">Após análise técnica, o Comitê deliberou pela </w:t>
      </w:r>
      <w:r w:rsidRPr="000F4B88">
        <w:rPr>
          <w:rFonts w:ascii="Arial" w:hAnsi="Arial" w:cs="Arial"/>
          <w:b/>
          <w:bCs/>
          <w:sz w:val="24"/>
          <w:szCs w:val="24"/>
        </w:rPr>
        <w:t>aprovação dos percentuais, segmentos e diretrizes da Política de Investimentos para o exercício de 2026</w:t>
      </w:r>
      <w:r w:rsidRPr="000F4B88">
        <w:rPr>
          <w:rFonts w:ascii="Arial" w:hAnsi="Arial" w:cs="Arial"/>
          <w:sz w:val="24"/>
          <w:szCs w:val="24"/>
        </w:rPr>
        <w:t>, por estarem alinhados ao perfil conservador do Instituto, às exigências legais e às necessidades do RPPS</w:t>
      </w:r>
      <w:r w:rsidRPr="00DC3EFC">
        <w:rPr>
          <w:rFonts w:ascii="Arial" w:hAnsi="Arial" w:cs="Arial"/>
          <w:sz w:val="24"/>
          <w:szCs w:val="24"/>
        </w:rPr>
        <w:t>, conforme quadro descrito abaixo:</w:t>
      </w:r>
    </w:p>
    <w:tbl>
      <w:tblPr>
        <w:tblW w:w="1039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7"/>
        <w:gridCol w:w="3286"/>
        <w:gridCol w:w="1199"/>
        <w:gridCol w:w="1000"/>
        <w:gridCol w:w="734"/>
        <w:gridCol w:w="1026"/>
        <w:gridCol w:w="1163"/>
        <w:gridCol w:w="1075"/>
      </w:tblGrid>
      <w:tr w:rsidR="00DC3EFC" w14:paraId="1F9342AF" w14:textId="77777777" w:rsidTr="00E435CB">
        <w:trPr>
          <w:trHeight w:val="503"/>
          <w:jc w:val="center"/>
        </w:trPr>
        <w:tc>
          <w:tcPr>
            <w:tcW w:w="907" w:type="dxa"/>
            <w:tcBorders>
              <w:bottom w:val="single" w:sz="4" w:space="0" w:color="FFFFFF"/>
            </w:tcBorders>
            <w:vAlign w:val="center"/>
          </w:tcPr>
          <w:p w14:paraId="3E3DE50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F31F4"/>
                <w:sz w:val="24"/>
                <w:szCs w:val="24"/>
                <w:lang w:eastAsia="pt-BR"/>
              </w:rPr>
            </w:pPr>
          </w:p>
          <w:p w14:paraId="6788A66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F31F4"/>
                <w:sz w:val="24"/>
                <w:szCs w:val="24"/>
                <w:lang w:eastAsia="pt-BR"/>
              </w:rPr>
            </w:pPr>
          </w:p>
        </w:tc>
        <w:tc>
          <w:tcPr>
            <w:tcW w:w="3286" w:type="dxa"/>
            <w:vAlign w:val="center"/>
          </w:tcPr>
          <w:p w14:paraId="0065456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199" w:type="dxa"/>
            <w:vAlign w:val="center"/>
          </w:tcPr>
          <w:p w14:paraId="4823E41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1000" w:type="dxa"/>
            <w:vAlign w:val="center"/>
          </w:tcPr>
          <w:p w14:paraId="23F2539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734" w:type="dxa"/>
            <w:vAlign w:val="center"/>
          </w:tcPr>
          <w:p w14:paraId="227DE58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F31F4"/>
                <w:sz w:val="20"/>
                <w:szCs w:val="20"/>
                <w:lang w:eastAsia="pt-BR"/>
              </w:rPr>
            </w:pPr>
          </w:p>
        </w:tc>
        <w:tc>
          <w:tcPr>
            <w:tcW w:w="3264" w:type="dxa"/>
            <w:gridSpan w:val="3"/>
            <w:vAlign w:val="center"/>
          </w:tcPr>
          <w:p w14:paraId="52DA664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Estratégia de Alocação</w:t>
            </w: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br/>
              <w:t>Política de Investimento</w:t>
            </w:r>
          </w:p>
        </w:tc>
      </w:tr>
      <w:tr w:rsidR="00DC3EFC" w14:paraId="0C754691" w14:textId="77777777" w:rsidTr="00E435CB">
        <w:trPr>
          <w:trHeight w:val="422"/>
          <w:jc w:val="center"/>
        </w:trPr>
        <w:tc>
          <w:tcPr>
            <w:tcW w:w="907" w:type="dxa"/>
            <w:tcBorders>
              <w:top w:val="single" w:sz="4" w:space="0" w:color="FFFFFF"/>
              <w:bottom w:val="single" w:sz="4" w:space="0" w:color="000000"/>
            </w:tcBorders>
            <w:vAlign w:val="center"/>
          </w:tcPr>
          <w:p w14:paraId="6F71FB9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Segmento</w:t>
            </w:r>
          </w:p>
        </w:tc>
        <w:tc>
          <w:tcPr>
            <w:tcW w:w="3286" w:type="dxa"/>
            <w:tcBorders>
              <w:bottom w:val="single" w:sz="4" w:space="0" w:color="000000"/>
            </w:tcBorders>
            <w:vAlign w:val="center"/>
          </w:tcPr>
          <w:p w14:paraId="02CD4BF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Tipo de Ativo</w:t>
            </w:r>
          </w:p>
        </w:tc>
        <w:tc>
          <w:tcPr>
            <w:tcW w:w="1199" w:type="dxa"/>
            <w:tcBorders>
              <w:bottom w:val="single" w:sz="4" w:space="0" w:color="000000"/>
            </w:tcBorders>
            <w:vAlign w:val="center"/>
          </w:tcPr>
          <w:p w14:paraId="18E7E52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Carteira Atual (R$)</w:t>
            </w:r>
          </w:p>
        </w:tc>
        <w:tc>
          <w:tcPr>
            <w:tcW w:w="1000" w:type="dxa"/>
            <w:tcBorders>
              <w:bottom w:val="single" w:sz="4" w:space="0" w:color="000000"/>
            </w:tcBorders>
            <w:vAlign w:val="center"/>
          </w:tcPr>
          <w:p w14:paraId="134DBE6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Carteira Atual (%)</w:t>
            </w:r>
          </w:p>
        </w:tc>
        <w:tc>
          <w:tcPr>
            <w:tcW w:w="734" w:type="dxa"/>
            <w:tcBorders>
              <w:bottom w:val="single" w:sz="4" w:space="0" w:color="000000"/>
            </w:tcBorders>
            <w:vAlign w:val="center"/>
          </w:tcPr>
          <w:p w14:paraId="288EC56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Resolução 4.963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vAlign w:val="center"/>
          </w:tcPr>
          <w:p w14:paraId="08387CB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Inferior (%)</w:t>
            </w:r>
          </w:p>
        </w:tc>
        <w:tc>
          <w:tcPr>
            <w:tcW w:w="1163" w:type="dxa"/>
            <w:tcBorders>
              <w:bottom w:val="single" w:sz="4" w:space="0" w:color="000000"/>
            </w:tcBorders>
            <w:vAlign w:val="center"/>
          </w:tcPr>
          <w:p w14:paraId="7A14CF4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Estratégia Alvo (%)</w:t>
            </w:r>
          </w:p>
        </w:tc>
        <w:tc>
          <w:tcPr>
            <w:tcW w:w="1074" w:type="dxa"/>
            <w:tcBorders>
              <w:bottom w:val="single" w:sz="4" w:space="0" w:color="000000"/>
            </w:tcBorders>
            <w:vAlign w:val="center"/>
          </w:tcPr>
          <w:p w14:paraId="0B6067A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Limite Superior (%)</w:t>
            </w:r>
          </w:p>
        </w:tc>
      </w:tr>
      <w:tr w:rsidR="00DC3EFC" w14:paraId="7BA4ABC6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A20D47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Renda Fixa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2832A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Títulos Tesouro Nacional – SELIC - Art. 7º, I, “a”.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E97C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5.601.377,97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0BB7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12,19%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3365148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D17DB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AD1E82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C3B28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50,00%</w:t>
            </w:r>
          </w:p>
        </w:tc>
      </w:tr>
      <w:tr w:rsidR="00DC3EFC" w14:paraId="1C4F78E1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75EB6C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95CC4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Referenciado 100% títulos TN - Art. 7º, I, "b"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CA82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17.119.867,66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F3D5E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37,26%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460B92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DAD0C8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C56E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40,00%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B399D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90,00%</w:t>
            </w:r>
          </w:p>
        </w:tc>
      </w:tr>
      <w:tr w:rsidR="00DC3EFC" w14:paraId="25406547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FDD1CB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A27AAE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em Índices de Renda Fixa 100% títulos TN - Art. 7º, I, "c"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4950E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0C89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80D191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9872F1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2273D2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6113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412460B2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27A20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1077D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Operações Compromissadas - Art. 7º,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F8EF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C3DA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4D530D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1BE87E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70C22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1D4F0B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4C01112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B9E64E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2D73F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- Art. 7º, III, “a”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8957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11.289.865,22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A6FD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24,57%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15523A5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E94F94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42B817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36,00%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1385C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70,00%</w:t>
            </w:r>
          </w:p>
        </w:tc>
      </w:tr>
      <w:tr w:rsidR="00DC3EFC" w14:paraId="1751E4E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FFC769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E3BC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de Índices Renda Fixa - Art. 7º, III, “b”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7E8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5F0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5F518C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C5A51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5C93F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5A649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7309A9BB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BC7CD3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1943AC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Ativos Bancários - Art. 7º, IV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4605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5.672.023,48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44A4D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12,34%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474D39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20,00%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0E597D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2FE77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6,50%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423C2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20,00%</w:t>
            </w:r>
          </w:p>
        </w:tc>
      </w:tr>
      <w:tr w:rsidR="00DC3EFC" w14:paraId="6A52E9CF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4C172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D2246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Direitos Creditórios (FIDC) - sênior - Art. 7º, V, "a"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8931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2.574.261,80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2F09D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5,60%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999FB1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43583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99CC15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DB16A9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5,00%</w:t>
            </w:r>
          </w:p>
        </w:tc>
      </w:tr>
      <w:tr w:rsidR="00DC3EFC" w14:paraId="03BF698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9E0AAE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A2230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"Crédito Privado"- Art. 7º, V, "b"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E47F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C390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6C14C15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4B2EB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64B9D7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E48B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10,00%</w:t>
            </w:r>
          </w:p>
        </w:tc>
      </w:tr>
      <w:tr w:rsidR="00DC3EFC" w14:paraId="70E9F68B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141026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058AB3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val="en-US"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pt-BR"/>
              </w:rPr>
              <w:t>FI "Debentures"- Art. 7º, V, "c"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A6BCB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A34B9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0398C5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E2E4D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972ECA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ED412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sz w:val="16"/>
                <w:szCs w:val="16"/>
              </w:rPr>
              <w:t>0,00%</w:t>
            </w:r>
          </w:p>
        </w:tc>
      </w:tr>
      <w:tr w:rsidR="00DC3EFC" w14:paraId="6E4B9443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AA4303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7DAF31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55AD9BC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42.257.396,13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03D8E3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91,96%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5484951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D57678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D2C3AD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94,50%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4D9B04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sz w:val="16"/>
                <w:szCs w:val="16"/>
              </w:rPr>
              <w:t>100,00%</w:t>
            </w:r>
          </w:p>
        </w:tc>
      </w:tr>
      <w:tr w:rsidR="00DC3EFC" w14:paraId="63E23B03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483C8B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Renda Variável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7465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Ações - Art. 8º,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1F36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3.428.681,90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B3D66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7,46%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5348C9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C02B48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D39A6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2,00%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6D7E7B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30,00%</w:t>
            </w:r>
          </w:p>
        </w:tc>
      </w:tr>
      <w:tr w:rsidR="00DC3EFC" w14:paraId="340527A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8FEDD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2908C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de Índices Ações - Art. 8º,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C0314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FA2F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38C020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30,00%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376D2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639FD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F74B0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color w:val="000000"/>
                <w:sz w:val="16"/>
                <w:szCs w:val="16"/>
              </w:rPr>
              <w:t>10,00%</w:t>
            </w:r>
          </w:p>
        </w:tc>
      </w:tr>
      <w:tr w:rsidR="00DC3EFC" w14:paraId="0391F12D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4CFE8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70AAF0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FE9B7F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3.428.681,90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442AA6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7,46%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C91575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ED0778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0E8738F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2,00%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4A1F07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40,00%</w:t>
            </w:r>
          </w:p>
        </w:tc>
      </w:tr>
      <w:tr w:rsidR="00DC3EFC" w14:paraId="4B88F709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0DE01D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Investimentos no Exterior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F8B127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Renda Fixa - Dívida Externa - Art. 9º,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0F32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D95D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C19E4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868469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69610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BC36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24669881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079FC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E100A0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Investimento no Exterior - Art. 9º,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E1D58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9D9B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70B1048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06EB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8C672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B5EF19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6D45DEF8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0EF549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82BE2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Ações - BDR Nível I - Art. 9º, III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88852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9BD6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7694F3A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B53836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DE5533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B58F4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18ACA73E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2C87C3E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F747AC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296B45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4A90CF8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077810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739CFE5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8D56C6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5EAC726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2A87FB5C" w14:textId="77777777" w:rsidTr="00E435CB">
        <w:trPr>
          <w:trHeight w:val="271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298AB4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Investimentos Estruturados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E72CB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Multimercado - aberto - Art. 10, 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6A69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1EEA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41CE84C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10,00%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AC84133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7A0DE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734E19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10,00%</w:t>
            </w:r>
          </w:p>
        </w:tc>
      </w:tr>
      <w:tr w:rsidR="00DC3EFC" w14:paraId="01721204" w14:textId="77777777" w:rsidTr="00E435CB">
        <w:trPr>
          <w:trHeight w:val="271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3DC2CFF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00A05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em Participações - Art. 10, 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D47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AF8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536697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D96A9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DAC64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F6283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1FC8B5E1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1029C7D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57421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 xml:space="preserve">FI “Ações - Mercado de </w:t>
            </w:r>
            <w:proofErr w:type="gramStart"/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Acesso”-</w:t>
            </w:r>
            <w:proofErr w:type="gramEnd"/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 xml:space="preserve"> Art. 10, III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4EB3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0A1A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</w:tcPr>
          <w:p w14:paraId="37A5EE1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ABB63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D79DE8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5AC1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</w:tr>
      <w:tr w:rsidR="00DC3EFC" w14:paraId="7AE553F7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1F6304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CA644AC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1A5352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9F4FBA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665F68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0AF64D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13BD91F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6A9540D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15,00%</w:t>
            </w:r>
          </w:p>
        </w:tc>
      </w:tr>
      <w:tr w:rsidR="00DC3EFC" w14:paraId="48E34599" w14:textId="77777777" w:rsidTr="00E435CB">
        <w:trPr>
          <w:trHeight w:val="285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4AD31F1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Fundos Imobiliários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5CB902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FI Imobiliário - Art. 11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323AAD" w14:textId="77777777" w:rsidR="00DC3EFC" w:rsidRPr="00AE7127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 w:rsidRPr="00AE7127"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265.142,36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01B41F" w14:textId="77777777" w:rsidR="00DC3EFC" w:rsidRPr="00AE7127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 w:rsidRPr="00AE7127"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0,58%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667E8B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57C46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117141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6A7A5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29565F8D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51F1E60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4813A15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34227DC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265.142,36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A3FDA9D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0,58%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6EB2900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534C31F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2D2586E8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0,50%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vAlign w:val="center"/>
          </w:tcPr>
          <w:p w14:paraId="13B53246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cstheme="minorHAnsi"/>
                <w:b/>
                <w:bCs/>
                <w:color w:val="000000"/>
                <w:sz w:val="16"/>
                <w:szCs w:val="16"/>
              </w:rPr>
              <w:t>5,00%</w:t>
            </w:r>
          </w:p>
        </w:tc>
      </w:tr>
      <w:tr w:rsidR="00DC3EFC" w14:paraId="0B8ABD97" w14:textId="77777777" w:rsidTr="00E435CB">
        <w:trPr>
          <w:trHeight w:val="285"/>
          <w:jc w:val="center"/>
        </w:trPr>
        <w:tc>
          <w:tcPr>
            <w:tcW w:w="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719C7FE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FFFFFF" w:themeColor="background1"/>
                <w:sz w:val="16"/>
                <w:szCs w:val="16"/>
                <w:lang w:eastAsia="pt-BR"/>
              </w:rPr>
              <w:t>Empréstimos Consignados</w:t>
            </w: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E4DA41" w14:textId="77777777" w:rsidR="00DC3EFC" w:rsidRDefault="00DC3EFC" w:rsidP="00E435CB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Empréstimos Consignados – Art. 12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595AEC7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A5EE6D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5CB1BE0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  <w:t>5,00%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F942A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47FF30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B9B9AB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7BD4E93B" w14:textId="77777777" w:rsidTr="00E435CB">
        <w:trPr>
          <w:trHeight w:val="285"/>
          <w:jc w:val="center"/>
        </w:trPr>
        <w:tc>
          <w:tcPr>
            <w:tcW w:w="9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F31F4"/>
            <w:vAlign w:val="center"/>
          </w:tcPr>
          <w:p w14:paraId="6498074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375CC65A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Subtotal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D323911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0AC4413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2607383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7E058B1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35B713FB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1,00%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8CFFC"/>
            <w:vAlign w:val="center"/>
          </w:tcPr>
          <w:p w14:paraId="4B86576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t-BR"/>
              </w:rPr>
              <w:t>5,00%</w:t>
            </w:r>
          </w:p>
        </w:tc>
      </w:tr>
      <w:tr w:rsidR="00DC3EFC" w14:paraId="57914216" w14:textId="77777777" w:rsidTr="00E435CB">
        <w:trPr>
          <w:trHeight w:val="285"/>
          <w:jc w:val="center"/>
        </w:trPr>
        <w:tc>
          <w:tcPr>
            <w:tcW w:w="907" w:type="dxa"/>
            <w:tcBorders>
              <w:top w:val="single" w:sz="4" w:space="0" w:color="000000"/>
            </w:tcBorders>
            <w:vAlign w:val="center"/>
          </w:tcPr>
          <w:p w14:paraId="3204673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</w:p>
        </w:tc>
        <w:tc>
          <w:tcPr>
            <w:tcW w:w="3286" w:type="dxa"/>
            <w:tcBorders>
              <w:top w:val="single" w:sz="4" w:space="0" w:color="000000"/>
            </w:tcBorders>
            <w:vAlign w:val="center"/>
          </w:tcPr>
          <w:p w14:paraId="6DF82FF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Total Geral</w:t>
            </w:r>
          </w:p>
        </w:tc>
        <w:tc>
          <w:tcPr>
            <w:tcW w:w="1199" w:type="dxa"/>
            <w:tcBorders>
              <w:top w:val="single" w:sz="4" w:space="0" w:color="000000"/>
            </w:tcBorders>
            <w:vAlign w:val="center"/>
          </w:tcPr>
          <w:p w14:paraId="655452F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45.951.220,39</w:t>
            </w:r>
          </w:p>
        </w:tc>
        <w:tc>
          <w:tcPr>
            <w:tcW w:w="1000" w:type="dxa"/>
            <w:tcBorders>
              <w:top w:val="single" w:sz="4" w:space="0" w:color="000000"/>
            </w:tcBorders>
            <w:vAlign w:val="center"/>
          </w:tcPr>
          <w:p w14:paraId="6F00D2AE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734" w:type="dxa"/>
            <w:tcBorders>
              <w:top w:val="single" w:sz="4" w:space="0" w:color="000000"/>
            </w:tcBorders>
            <w:vAlign w:val="center"/>
          </w:tcPr>
          <w:p w14:paraId="0D9F5972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  <w:t>-</w:t>
            </w:r>
          </w:p>
        </w:tc>
        <w:tc>
          <w:tcPr>
            <w:tcW w:w="1026" w:type="dxa"/>
            <w:tcBorders>
              <w:top w:val="single" w:sz="4" w:space="0" w:color="000000"/>
            </w:tcBorders>
            <w:vAlign w:val="center"/>
          </w:tcPr>
          <w:p w14:paraId="3537242F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0,00%</w:t>
            </w:r>
          </w:p>
        </w:tc>
        <w:tc>
          <w:tcPr>
            <w:tcW w:w="1163" w:type="dxa"/>
            <w:tcBorders>
              <w:top w:val="single" w:sz="4" w:space="0" w:color="000000"/>
            </w:tcBorders>
            <w:vAlign w:val="center"/>
          </w:tcPr>
          <w:p w14:paraId="1F73FAA4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highlight w:val="yellow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  <w:tc>
          <w:tcPr>
            <w:tcW w:w="1074" w:type="dxa"/>
            <w:tcBorders>
              <w:top w:val="single" w:sz="4" w:space="0" w:color="000000"/>
            </w:tcBorders>
            <w:vAlign w:val="center"/>
          </w:tcPr>
          <w:p w14:paraId="3F6317B5" w14:textId="77777777" w:rsidR="00DC3EFC" w:rsidRDefault="00DC3EFC" w:rsidP="00E435C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F31F4"/>
                <w:sz w:val="16"/>
                <w:szCs w:val="16"/>
                <w:lang w:eastAsia="pt-BR"/>
              </w:rPr>
            </w:pPr>
            <w:r>
              <w:rPr>
                <w:rFonts w:eastAsia="Times New Roman" w:cs="Calibri"/>
                <w:b/>
                <w:bCs/>
                <w:color w:val="0F31F4"/>
                <w:sz w:val="16"/>
                <w:szCs w:val="16"/>
                <w:lang w:eastAsia="pt-BR"/>
              </w:rPr>
              <w:t>100,00%</w:t>
            </w:r>
          </w:p>
        </w:tc>
      </w:tr>
    </w:tbl>
    <w:p w14:paraId="7AA11CD5" w14:textId="77777777" w:rsidR="00DC3EFC" w:rsidRPr="000F4B88" w:rsidRDefault="00DC3EFC" w:rsidP="00DC3EFC">
      <w:pPr>
        <w:spacing w:after="160" w:line="259" w:lineRule="auto"/>
        <w:jc w:val="both"/>
      </w:pPr>
    </w:p>
    <w:p w14:paraId="11DC053A" w14:textId="4A5A7AA7" w:rsidR="00DC3EFC" w:rsidRPr="00DC3EFC" w:rsidRDefault="00DC3EFC" w:rsidP="00DC3EFC">
      <w:p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0F4B88">
        <w:rPr>
          <w:rFonts w:ascii="Arial" w:hAnsi="Arial" w:cs="Arial"/>
          <w:sz w:val="24"/>
          <w:szCs w:val="24"/>
        </w:rPr>
        <w:t xml:space="preserve">Ficou registrado que, </w:t>
      </w:r>
      <w:r w:rsidRPr="00DC3EFC">
        <w:rPr>
          <w:rFonts w:ascii="Arial" w:hAnsi="Arial" w:cs="Arial"/>
          <w:sz w:val="24"/>
          <w:szCs w:val="24"/>
        </w:rPr>
        <w:t xml:space="preserve">que a reunião com o </w:t>
      </w:r>
      <w:r w:rsidRPr="000F4B88">
        <w:rPr>
          <w:rFonts w:ascii="Arial" w:hAnsi="Arial" w:cs="Arial"/>
          <w:sz w:val="24"/>
          <w:szCs w:val="24"/>
        </w:rPr>
        <w:t>Conselho Deliberativo</w:t>
      </w:r>
      <w:r w:rsidRPr="00DC3EFC">
        <w:rPr>
          <w:rFonts w:ascii="Arial" w:hAnsi="Arial" w:cs="Arial"/>
          <w:sz w:val="24"/>
          <w:szCs w:val="24"/>
        </w:rPr>
        <w:t xml:space="preserve"> para apresentação da política de investimentos e aprovação ocorrera hoje as 15h e que </w:t>
      </w:r>
      <w:r w:rsidRPr="000F4B88">
        <w:rPr>
          <w:rFonts w:ascii="Arial" w:hAnsi="Arial" w:cs="Arial"/>
          <w:sz w:val="24"/>
          <w:szCs w:val="24"/>
        </w:rPr>
        <w:t>após aprovação, será elaborado o Demonstrativo da Política de Investimentos (DPIN) para inserção no CADPREV, e a Política entrará em vigor em 1º de janeiro de 2026. O Conselho Fiscal acompanhará sua execução, e a consultoria permanecerá à disposição para dúvidas.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>Nada mais havendo a tratar, a Presidente Francielle Elgita de Oliveira Costa agradeceu a participação de todos e encerrou a reunião. Eu, Rosimery Aparecida Inácio de Pinho Procópio, ________________________, secretária do Comitê de Investimentos, lavrei a presente ata, que, lida e aprovada, será assinada pelos membros presentes.</w:t>
      </w:r>
      <w:r w:rsidRPr="00DC3EFC">
        <w:rPr>
          <w:rFonts w:ascii="Arial" w:hAnsi="Arial" w:cs="Arial"/>
          <w:sz w:val="24"/>
          <w:szCs w:val="24"/>
        </w:rPr>
        <w:t xml:space="preserve"> </w:t>
      </w:r>
      <w:r w:rsidRPr="000F4B88">
        <w:rPr>
          <w:rFonts w:ascii="Arial" w:hAnsi="Arial" w:cs="Arial"/>
          <w:sz w:val="24"/>
          <w:szCs w:val="24"/>
        </w:rPr>
        <w:t xml:space="preserve">Guanhães, </w:t>
      </w:r>
      <w:r w:rsidR="00A8590F">
        <w:rPr>
          <w:rFonts w:ascii="Arial" w:hAnsi="Arial" w:cs="Arial"/>
          <w:sz w:val="24"/>
          <w:szCs w:val="24"/>
        </w:rPr>
        <w:t>0</w:t>
      </w:r>
      <w:r w:rsidRPr="000F4B88">
        <w:rPr>
          <w:rFonts w:ascii="Arial" w:hAnsi="Arial" w:cs="Arial"/>
          <w:sz w:val="24"/>
          <w:szCs w:val="24"/>
        </w:rPr>
        <w:t>8 de dezembro de 2025.</w:t>
      </w:r>
    </w:p>
    <w:p w14:paraId="5E52492F" w14:textId="77777777" w:rsidR="00DC3EFC" w:rsidRDefault="00DC3EFC" w:rsidP="00DC3EFC">
      <w:pPr>
        <w:spacing w:after="160" w:line="259" w:lineRule="auto"/>
        <w:jc w:val="both"/>
        <w:rPr>
          <w:rFonts w:ascii="Arial" w:hAnsi="Arial" w:cs="Arial"/>
          <w:sz w:val="10"/>
          <w:szCs w:val="10"/>
        </w:rPr>
      </w:pPr>
    </w:p>
    <w:p w14:paraId="4AE24F87" w14:textId="77777777" w:rsidR="00A8590F" w:rsidRDefault="00A8590F" w:rsidP="00DC3EFC">
      <w:pPr>
        <w:spacing w:after="160" w:line="259" w:lineRule="auto"/>
        <w:jc w:val="both"/>
        <w:rPr>
          <w:rFonts w:ascii="Arial" w:hAnsi="Arial" w:cs="Arial"/>
          <w:sz w:val="10"/>
          <w:szCs w:val="10"/>
        </w:rPr>
      </w:pPr>
    </w:p>
    <w:p w14:paraId="0BCA64ED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 xml:space="preserve">   Francielle Elgita de Oliveira Costa                    Rosimery Ap. Inácio de Pinho Procópio  </w:t>
      </w:r>
    </w:p>
    <w:p w14:paraId="6E8E8EA5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>Presidente do Comitê/Gestor Recursos</w:t>
      </w:r>
      <w:r w:rsidRPr="00DC3EFC">
        <w:rPr>
          <w:rFonts w:ascii="Arial" w:hAnsi="Arial" w:cs="Arial"/>
          <w:sz w:val="24"/>
          <w:szCs w:val="24"/>
          <w:lang w:val="pt-BR"/>
        </w:rPr>
        <w:tab/>
        <w:t xml:space="preserve">                                  Secretária</w:t>
      </w:r>
    </w:p>
    <w:p w14:paraId="6E0332C5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0BBF9FE3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516585BB" w14:textId="77777777" w:rsidR="00DC3EFC" w:rsidRPr="00DC3EFC" w:rsidRDefault="00DC3EFC" w:rsidP="00DC3EFC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 xml:space="preserve"> </w:t>
      </w:r>
    </w:p>
    <w:p w14:paraId="3EC82E9A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>Cláudia Ap. Monteiro dos Santos                                      Daniel Fernando da Silva</w:t>
      </w:r>
    </w:p>
    <w:p w14:paraId="20B0915B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 xml:space="preserve">                  Membro                                                                           </w:t>
      </w:r>
      <w:proofErr w:type="spellStart"/>
      <w:r w:rsidRPr="00DC3EFC">
        <w:rPr>
          <w:rFonts w:ascii="Arial" w:hAnsi="Arial" w:cs="Arial"/>
          <w:sz w:val="24"/>
          <w:szCs w:val="24"/>
          <w:lang w:val="pt-BR"/>
        </w:rPr>
        <w:t>Membro</w:t>
      </w:r>
      <w:proofErr w:type="spellEnd"/>
    </w:p>
    <w:p w14:paraId="30C50782" w14:textId="77777777" w:rsidR="00DC3EFC" w:rsidRPr="00DC3EFC" w:rsidRDefault="00DC3EFC" w:rsidP="00DC3EFC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</w:p>
    <w:p w14:paraId="11BDC997" w14:textId="77777777" w:rsidR="00DC3EFC" w:rsidRPr="00DC3EFC" w:rsidRDefault="00DC3EFC" w:rsidP="00DC3EFC">
      <w:pPr>
        <w:pStyle w:val="SemEspaamento"/>
        <w:rPr>
          <w:rFonts w:ascii="Arial" w:hAnsi="Arial" w:cs="Arial"/>
          <w:sz w:val="24"/>
          <w:szCs w:val="24"/>
          <w:lang w:val="pt-BR"/>
        </w:rPr>
      </w:pPr>
    </w:p>
    <w:p w14:paraId="38EB64A5" w14:textId="77777777" w:rsidR="00DC3EFC" w:rsidRPr="00DC3EFC" w:rsidRDefault="00DC3EFC" w:rsidP="00DC3EFC">
      <w:pPr>
        <w:pStyle w:val="SemEspaamento"/>
        <w:jc w:val="center"/>
        <w:rPr>
          <w:rFonts w:ascii="Arial" w:hAnsi="Arial" w:cs="Arial"/>
          <w:sz w:val="24"/>
          <w:szCs w:val="24"/>
          <w:lang w:val="pt-BR"/>
        </w:rPr>
      </w:pPr>
      <w:r w:rsidRPr="00DC3EFC">
        <w:rPr>
          <w:rFonts w:ascii="Arial" w:hAnsi="Arial" w:cs="Arial"/>
          <w:sz w:val="24"/>
          <w:szCs w:val="24"/>
          <w:lang w:val="pt-BR"/>
        </w:rPr>
        <w:t>Humberto Salvador Ferreira Lopes</w:t>
      </w:r>
    </w:p>
    <w:p w14:paraId="3980F006" w14:textId="77777777" w:rsidR="00DC3EFC" w:rsidRPr="00DC3EFC" w:rsidRDefault="00DC3EFC" w:rsidP="00DC3EFC">
      <w:pPr>
        <w:pStyle w:val="SemEspaamento"/>
        <w:jc w:val="center"/>
        <w:rPr>
          <w:rFonts w:ascii="Arial" w:hAnsi="Arial" w:cs="Arial"/>
          <w:sz w:val="24"/>
          <w:szCs w:val="24"/>
        </w:rPr>
      </w:pPr>
      <w:r w:rsidRPr="00DC3EFC">
        <w:rPr>
          <w:rFonts w:ascii="Arial" w:hAnsi="Arial" w:cs="Arial"/>
          <w:sz w:val="24"/>
          <w:szCs w:val="24"/>
          <w:lang w:val="pt-BR"/>
        </w:rPr>
        <w:t>Membro</w:t>
      </w:r>
      <w:r w:rsidRPr="00DC3EFC">
        <w:rPr>
          <w:rFonts w:ascii="Arial" w:hAnsi="Arial" w:cs="Arial"/>
          <w:sz w:val="24"/>
          <w:szCs w:val="24"/>
        </w:rPr>
        <w:t xml:space="preserve"> </w:t>
      </w:r>
    </w:p>
    <w:p w14:paraId="2D7F6820" w14:textId="77777777" w:rsidR="00DC3EFC" w:rsidRPr="000F4B88" w:rsidRDefault="00DC3EFC" w:rsidP="00DC3EFC">
      <w:pPr>
        <w:spacing w:after="160" w:line="259" w:lineRule="auto"/>
        <w:jc w:val="both"/>
        <w:rPr>
          <w:rFonts w:ascii="Arial" w:hAnsi="Arial" w:cs="Arial"/>
          <w:sz w:val="24"/>
          <w:szCs w:val="24"/>
        </w:rPr>
      </w:pPr>
    </w:p>
    <w:p w14:paraId="40C140A3" w14:textId="77777777" w:rsidR="00DC3EFC" w:rsidRPr="00DC3EFC" w:rsidRDefault="00DC3EFC" w:rsidP="00DC3EFC">
      <w:pPr>
        <w:jc w:val="both"/>
        <w:rPr>
          <w:rFonts w:ascii="Arial" w:hAnsi="Arial" w:cs="Arial"/>
          <w:sz w:val="24"/>
          <w:szCs w:val="24"/>
        </w:rPr>
      </w:pPr>
    </w:p>
    <w:p w14:paraId="01DA2107" w14:textId="188AA76D" w:rsidR="00330475" w:rsidRPr="00DC3EFC" w:rsidRDefault="000D53E0" w:rsidP="00E3768E">
      <w:pPr>
        <w:rPr>
          <w:rFonts w:ascii="Arial" w:hAnsi="Arial" w:cs="Arial"/>
          <w:sz w:val="24"/>
          <w:szCs w:val="24"/>
        </w:rPr>
      </w:pPr>
      <w:r w:rsidRPr="00DC3EFC">
        <w:rPr>
          <w:rFonts w:ascii="Arial" w:hAnsi="Arial" w:cs="Arial"/>
          <w:sz w:val="24"/>
          <w:szCs w:val="24"/>
        </w:rPr>
        <w:t xml:space="preserve"> </w:t>
      </w:r>
      <w:bookmarkEnd w:id="0"/>
    </w:p>
    <w:sectPr w:rsidR="00330475" w:rsidRPr="00DC3EFC" w:rsidSect="00DC3E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3" w:bottom="426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94E59" w14:textId="77777777" w:rsidR="00AE38A1" w:rsidRDefault="00AE38A1" w:rsidP="00AE38A1">
      <w:pPr>
        <w:spacing w:after="0" w:line="240" w:lineRule="auto"/>
      </w:pPr>
      <w:r>
        <w:separator/>
      </w:r>
    </w:p>
  </w:endnote>
  <w:endnote w:type="continuationSeparator" w:id="0">
    <w:p w14:paraId="790945C6" w14:textId="77777777" w:rsidR="00AE38A1" w:rsidRDefault="00AE38A1" w:rsidP="00AE3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D670E" w14:textId="77777777" w:rsidR="006B11D8" w:rsidRDefault="006B11D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F7819" w14:textId="0CD7D499" w:rsidR="00AC2144" w:rsidRDefault="006B11D8" w:rsidP="006B11D8">
    <w:pPr>
      <w:jc w:val="center"/>
    </w:pP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Rua Monsenhor Pinheiro, 101 – Centro –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Guanhães – MG – </w:t>
    </w:r>
    <w:r w:rsidRPr="00507063">
      <w:rPr>
        <w:rFonts w:cstheme="minorHAnsi"/>
        <w:b/>
        <w:color w:val="17365D" w:themeColor="text2" w:themeShade="BF"/>
        <w:sz w:val="20"/>
        <w:szCs w:val="20"/>
      </w:rPr>
      <w:t>39740-000 – site: guanhaesprev.mg.gov.br</w:t>
    </w:r>
    <w:r>
      <w:rPr>
        <w:rFonts w:cstheme="minorHAnsi"/>
        <w:b/>
        <w:color w:val="17365D" w:themeColor="text2" w:themeShade="BF"/>
        <w:sz w:val="20"/>
        <w:szCs w:val="20"/>
      </w:rPr>
      <w:t xml:space="preserve"> </w:t>
    </w:r>
    <w:r>
      <w:rPr>
        <w:rFonts w:cstheme="minorHAnsi"/>
        <w:b/>
        <w:color w:val="17365D" w:themeColor="text2" w:themeShade="BF"/>
        <w:sz w:val="20"/>
        <w:szCs w:val="20"/>
      </w:rPr>
      <w:br/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>Tel.: (33) 3421-5576</w:t>
    </w:r>
    <w:r w:rsidR="00AC2144">
      <w:rPr>
        <w:rFonts w:cstheme="minorHAnsi"/>
        <w:b/>
        <w:color w:val="17365D" w:themeColor="text2" w:themeShade="BF"/>
        <w:sz w:val="20"/>
        <w:szCs w:val="20"/>
      </w:rPr>
      <w:t xml:space="preserve"> – WhatsApp (33) 3421-5309</w:t>
    </w:r>
    <w:r>
      <w:rPr>
        <w:rFonts w:cstheme="minorHAnsi"/>
        <w:b/>
        <w:color w:val="17365D" w:themeColor="text2" w:themeShade="BF"/>
        <w:sz w:val="20"/>
        <w:szCs w:val="20"/>
      </w:rPr>
      <w:t xml:space="preserve"> - </w:t>
    </w:r>
    <w:r w:rsidR="00AC2144" w:rsidRPr="00507063">
      <w:rPr>
        <w:rFonts w:cstheme="minorHAnsi"/>
        <w:b/>
        <w:color w:val="17365D" w:themeColor="text2" w:themeShade="BF"/>
        <w:sz w:val="20"/>
        <w:szCs w:val="20"/>
      </w:rPr>
      <w:t xml:space="preserve">e-mail: </w:t>
    </w:r>
    <w:hyperlink r:id="rId1" w:history="1">
      <w:r w:rsidRPr="005E2774">
        <w:rPr>
          <w:rStyle w:val="Hyperlink"/>
          <w:rFonts w:cstheme="minorHAnsi"/>
          <w:b/>
          <w:sz w:val="20"/>
          <w:szCs w:val="20"/>
        </w:rPr>
        <w:t>rpps@guanhaesprev.mg.gov.br</w:t>
      </w:r>
    </w:hyperlink>
    <w:r>
      <w:rPr>
        <w:rFonts w:cstheme="minorHAnsi"/>
        <w:b/>
        <w:color w:val="17365D" w:themeColor="text2" w:themeShade="BF"/>
        <w:sz w:val="20"/>
        <w:szCs w:val="20"/>
      </w:rPr>
      <w:b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B4435" w14:textId="77777777" w:rsidR="006B11D8" w:rsidRDefault="006B11D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1589" w14:textId="77777777" w:rsidR="00AE38A1" w:rsidRDefault="00AE38A1" w:rsidP="00AE38A1">
      <w:pPr>
        <w:spacing w:after="0" w:line="240" w:lineRule="auto"/>
      </w:pPr>
      <w:r>
        <w:separator/>
      </w:r>
    </w:p>
  </w:footnote>
  <w:footnote w:type="continuationSeparator" w:id="0">
    <w:p w14:paraId="29047E70" w14:textId="77777777" w:rsidR="00AE38A1" w:rsidRDefault="00AE38A1" w:rsidP="00AE38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D35C" w14:textId="1F251A1E" w:rsidR="00AE38A1" w:rsidRDefault="001662C9">
    <w:pPr>
      <w:pStyle w:val="Cabealho"/>
    </w:pPr>
    <w:r>
      <w:rPr>
        <w:noProof/>
      </w:rPr>
      <w:pict w14:anchorId="6D67C0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7" o:spid="_x0000_s2050" type="#_x0000_t75" style="position:absolute;margin-left:0;margin-top:0;width:510.25pt;height:225.45pt;z-index:-251657216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269F" w14:textId="72282395" w:rsidR="00AE38A1" w:rsidRDefault="00AC2144" w:rsidP="00AC2144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68480" behindDoc="1" locked="0" layoutInCell="1" allowOverlap="1" wp14:anchorId="107D7129" wp14:editId="376AE286">
          <wp:simplePos x="0" y="0"/>
          <wp:positionH relativeFrom="column">
            <wp:posOffset>139700</wp:posOffset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1523843418" name="Imagem 1523843418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5E5F49">
      <w:rPr>
        <w:b/>
        <w:i/>
        <w:iCs/>
        <w:sz w:val="28"/>
        <w:szCs w:val="28"/>
        <w:u w:val="single"/>
      </w:rPr>
      <w:t xml:space="preserve">INSTITUTO DE PREVIDÊNCIA DOS SERVIDORES PÚBLICOS   </w:t>
    </w:r>
    <w:r w:rsidRPr="005E5F49">
      <w:rPr>
        <w:b/>
        <w:i/>
        <w:iCs/>
        <w:sz w:val="28"/>
        <w:szCs w:val="28"/>
        <w:u w:val="single"/>
      </w:rPr>
      <w:br/>
      <w:t>DO MUNICÍPIO DE GUANHÃES</w:t>
    </w:r>
    <w:r w:rsidRPr="005E5F49">
      <w:rPr>
        <w:b/>
        <w:i/>
        <w:iCs/>
        <w:sz w:val="28"/>
        <w:szCs w:val="28"/>
      </w:rPr>
      <w:t>-</w:t>
    </w:r>
    <w:r w:rsidRPr="005E5F49">
      <w:rPr>
        <w:b/>
        <w:i/>
        <w:iCs/>
        <w:sz w:val="28"/>
        <w:szCs w:val="28"/>
        <w:u w:val="single"/>
      </w:rPr>
      <w:t>GUANHÃESPREV</w:t>
    </w:r>
    <w:r w:rsidRPr="005E5F49">
      <w:rPr>
        <w:b/>
        <w:i/>
        <w:iCs/>
        <w:sz w:val="28"/>
        <w:szCs w:val="28"/>
        <w:u w:val="single"/>
      </w:rPr>
      <w:br/>
      <w:t>CNPJ: 05.518.895/0001-74</w:t>
    </w:r>
    <w:bookmarkEnd w:id="1"/>
    <w:r w:rsidR="001662C9">
      <w:rPr>
        <w:noProof/>
      </w:rPr>
      <w:pict w14:anchorId="62FB14A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8" o:spid="_x0000_s2051" type="#_x0000_t75" style="position:absolute;left:0;text-align:left;margin-left:0;margin-top:0;width:510.25pt;height:225.45pt;z-index:-251656192;mso-position-horizontal:center;mso-position-horizontal-relative:margin;mso-position-vertical:center;mso-position-vertical-relative:margin" o:allowincell="f">
          <v:imagedata r:id="rId2" o:title="TIMBRE_page-000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FD80C" w14:textId="3CE92D64" w:rsidR="00AE38A1" w:rsidRDefault="001662C9">
    <w:pPr>
      <w:pStyle w:val="Cabealho"/>
    </w:pPr>
    <w:r>
      <w:rPr>
        <w:noProof/>
      </w:rPr>
      <w:pict w14:anchorId="587F1A6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645296" o:spid="_x0000_s2049" type="#_x0000_t75" style="position:absolute;margin-left:0;margin-top:0;width:510.25pt;height:225.45pt;z-index:-251658240;mso-position-horizontal:center;mso-position-horizontal-relative:margin;mso-position-vertical:center;mso-position-vertical-relative:margin" o:allowincell="f">
          <v:imagedata r:id="rId1" o:title="TIMBRE_page-00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869"/>
    <w:multiLevelType w:val="hybridMultilevel"/>
    <w:tmpl w:val="03A8BC7A"/>
    <w:lvl w:ilvl="0" w:tplc="1E727F5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770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B3B"/>
    <w:rsid w:val="00030786"/>
    <w:rsid w:val="000D0CC5"/>
    <w:rsid w:val="000D53E0"/>
    <w:rsid w:val="001662C9"/>
    <w:rsid w:val="00330475"/>
    <w:rsid w:val="003F6D65"/>
    <w:rsid w:val="004219A3"/>
    <w:rsid w:val="00441214"/>
    <w:rsid w:val="004B4FFC"/>
    <w:rsid w:val="00572B3B"/>
    <w:rsid w:val="005E5F49"/>
    <w:rsid w:val="00646FDF"/>
    <w:rsid w:val="0067285F"/>
    <w:rsid w:val="00683875"/>
    <w:rsid w:val="006B11D8"/>
    <w:rsid w:val="007E24A2"/>
    <w:rsid w:val="007E76D8"/>
    <w:rsid w:val="008766CE"/>
    <w:rsid w:val="008F28B9"/>
    <w:rsid w:val="00954710"/>
    <w:rsid w:val="009832CF"/>
    <w:rsid w:val="00A77661"/>
    <w:rsid w:val="00A8590F"/>
    <w:rsid w:val="00AC2144"/>
    <w:rsid w:val="00AE3618"/>
    <w:rsid w:val="00AE38A1"/>
    <w:rsid w:val="00B132A1"/>
    <w:rsid w:val="00BF77EC"/>
    <w:rsid w:val="00C72B68"/>
    <w:rsid w:val="00D25F84"/>
    <w:rsid w:val="00D834D3"/>
    <w:rsid w:val="00DC3EFC"/>
    <w:rsid w:val="00DE38D4"/>
    <w:rsid w:val="00E217F9"/>
    <w:rsid w:val="00E3768E"/>
    <w:rsid w:val="00EB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50E63C8"/>
  <w15:docId w15:val="{D3EEFC45-AD79-44B1-9B69-ABB95EBF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E76D8"/>
    <w:rPr>
      <w:color w:val="0000FF" w:themeColor="hyperlink"/>
      <w:u w:val="single"/>
    </w:rPr>
  </w:style>
  <w:style w:type="table" w:styleId="Tabelacomgrade">
    <w:name w:val="Table Grid"/>
    <w:basedOn w:val="Tabelanormal"/>
    <w:uiPriority w:val="39"/>
    <w:rsid w:val="009832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38A1"/>
  </w:style>
  <w:style w:type="paragraph" w:styleId="Rodap">
    <w:name w:val="footer"/>
    <w:basedOn w:val="Normal"/>
    <w:link w:val="RodapChar"/>
    <w:uiPriority w:val="99"/>
    <w:unhideWhenUsed/>
    <w:rsid w:val="00AE38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38A1"/>
  </w:style>
  <w:style w:type="character" w:styleId="MenoPendente">
    <w:name w:val="Unresolved Mention"/>
    <w:basedOn w:val="Fontepargpadro"/>
    <w:uiPriority w:val="99"/>
    <w:semiHidden/>
    <w:unhideWhenUsed/>
    <w:rsid w:val="006B11D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D0CC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paragraph" w:styleId="SemEspaamento">
    <w:name w:val="No Spacing"/>
    <w:uiPriority w:val="1"/>
    <w:qFormat/>
    <w:rsid w:val="00DC3EFC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20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rpps@guanhaesprev.mg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7C2435-826A-465E-8D50-C39ACE9D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1289</Words>
  <Characters>6965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Rosimeiry Procópio</cp:lastModifiedBy>
  <cp:revision>7</cp:revision>
  <cp:lastPrinted>2025-12-18T14:02:00Z</cp:lastPrinted>
  <dcterms:created xsi:type="dcterms:W3CDTF">2025-12-11T13:13:00Z</dcterms:created>
  <dcterms:modified xsi:type="dcterms:W3CDTF">2025-12-18T14:03:00Z</dcterms:modified>
</cp:coreProperties>
</file>